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8" w:rsidRPr="00BE45CB" w:rsidRDefault="000D2F38">
      <w:pPr>
        <w:rPr>
          <w:rFonts w:cstheme="minorHAnsi"/>
          <w:b/>
          <w:shd w:val="clear" w:color="auto" w:fill="FFFFFF"/>
          <w:lang w:val="en-GB"/>
        </w:rPr>
      </w:pPr>
      <w:r w:rsidRPr="00BE45CB">
        <w:rPr>
          <w:rFonts w:cstheme="minorHAnsi"/>
          <w:b/>
          <w:shd w:val="clear" w:color="auto" w:fill="FFFFFF"/>
          <w:lang w:val="en-GB"/>
        </w:rPr>
        <w:t xml:space="preserve">Enterprise Architecture &amp; Governance track </w:t>
      </w:r>
    </w:p>
    <w:p w:rsidR="00BE45CB" w:rsidRPr="00BE45CB" w:rsidRDefault="00BE45CB">
      <w:pPr>
        <w:rPr>
          <w:rFonts w:cstheme="minorHAnsi"/>
          <w:b/>
          <w:shd w:val="clear" w:color="auto" w:fill="FFFFFF"/>
          <w:lang w:val="en-GB"/>
        </w:rPr>
      </w:pPr>
      <w:r w:rsidRPr="00BE45CB">
        <w:rPr>
          <w:rFonts w:cstheme="minorHAnsi"/>
          <w:b/>
          <w:shd w:val="clear" w:color="auto" w:fill="FFFFFF"/>
          <w:lang w:val="en-GB"/>
        </w:rPr>
        <w:t>Background</w:t>
      </w:r>
      <w:r w:rsidR="00DE290C">
        <w:rPr>
          <w:rFonts w:cstheme="minorHAnsi"/>
          <w:b/>
          <w:shd w:val="clear" w:color="auto" w:fill="FFFFFF"/>
          <w:lang w:val="en-GB"/>
        </w:rPr>
        <w:tab/>
      </w:r>
    </w:p>
    <w:p w:rsidR="00AB66FD" w:rsidRPr="00B76395" w:rsidRDefault="00E93161">
      <w:pPr>
        <w:rPr>
          <w:rFonts w:cstheme="minorHAnsi"/>
          <w:color w:val="FF0000"/>
          <w:lang w:val="en-GB"/>
        </w:rPr>
      </w:pPr>
      <w:r w:rsidRPr="00BE45CB">
        <w:rPr>
          <w:rFonts w:cstheme="minorHAnsi"/>
          <w:lang w:val="en-GB"/>
        </w:rPr>
        <w:t xml:space="preserve">Enterprise </w:t>
      </w:r>
      <w:r w:rsidR="003C5A64" w:rsidRPr="00BE45CB">
        <w:rPr>
          <w:rFonts w:cstheme="minorHAnsi"/>
          <w:lang w:val="en-GB"/>
        </w:rPr>
        <w:t>architecture</w:t>
      </w:r>
      <w:r w:rsidRPr="00BE45CB">
        <w:rPr>
          <w:rFonts w:cstheme="minorHAnsi"/>
          <w:lang w:val="en-GB"/>
        </w:rPr>
        <w:t xml:space="preserve"> (EA)</w:t>
      </w:r>
      <w:r w:rsidR="003C5A64" w:rsidRPr="00BE45CB">
        <w:rPr>
          <w:rFonts w:cstheme="minorHAnsi"/>
          <w:lang w:val="en-GB"/>
        </w:rPr>
        <w:t xml:space="preserve"> is based on statements of ho</w:t>
      </w:r>
      <w:r w:rsidRPr="00BE45CB">
        <w:rPr>
          <w:rFonts w:cstheme="minorHAnsi"/>
          <w:lang w:val="en-GB"/>
        </w:rPr>
        <w:t xml:space="preserve">w an enterprise wants to use </w:t>
      </w:r>
      <w:r w:rsidR="008B4A2C">
        <w:rPr>
          <w:rFonts w:cstheme="minorHAnsi"/>
          <w:lang w:val="en-GB"/>
        </w:rPr>
        <w:t xml:space="preserve">its </w:t>
      </w:r>
      <w:r w:rsidR="003C4397">
        <w:rPr>
          <w:rFonts w:cstheme="minorHAnsi"/>
          <w:lang w:val="en-GB"/>
        </w:rPr>
        <w:t>Information and Communication Technology (</w:t>
      </w:r>
      <w:r w:rsidRPr="00BE45CB">
        <w:rPr>
          <w:rFonts w:cstheme="minorHAnsi"/>
          <w:lang w:val="en-GB"/>
        </w:rPr>
        <w:t>I</w:t>
      </w:r>
      <w:r w:rsidR="003C4397">
        <w:rPr>
          <w:rFonts w:cstheme="minorHAnsi"/>
          <w:lang w:val="en-GB"/>
        </w:rPr>
        <w:t>C</w:t>
      </w:r>
      <w:r w:rsidRPr="00BE45CB">
        <w:rPr>
          <w:rFonts w:cstheme="minorHAnsi"/>
          <w:lang w:val="en-GB"/>
        </w:rPr>
        <w:t>T</w:t>
      </w:r>
      <w:r w:rsidR="004D0654">
        <w:rPr>
          <w:rFonts w:cstheme="minorHAnsi"/>
          <w:lang w:val="en-GB"/>
        </w:rPr>
        <w:t>)</w:t>
      </w:r>
      <w:r w:rsidR="00FF58D6">
        <w:rPr>
          <w:rFonts w:cstheme="minorHAnsi"/>
          <w:lang w:val="en-GB"/>
        </w:rPr>
        <w:t xml:space="preserve"> to accomplish its strategy</w:t>
      </w:r>
      <w:r w:rsidRPr="00BE45CB">
        <w:rPr>
          <w:rFonts w:cstheme="minorHAnsi"/>
          <w:lang w:val="en-GB"/>
        </w:rPr>
        <w:t xml:space="preserve"> and relate this</w:t>
      </w:r>
      <w:r w:rsidR="00FD718B">
        <w:rPr>
          <w:rFonts w:cstheme="minorHAnsi"/>
          <w:lang w:val="en-GB"/>
        </w:rPr>
        <w:t xml:space="preserve"> </w:t>
      </w:r>
      <w:r w:rsidRPr="00BE45CB">
        <w:rPr>
          <w:rFonts w:cstheme="minorHAnsi"/>
          <w:lang w:val="en-GB"/>
        </w:rPr>
        <w:t xml:space="preserve">to </w:t>
      </w:r>
      <w:r w:rsidR="008B4A2C">
        <w:rPr>
          <w:rFonts w:cstheme="minorHAnsi"/>
          <w:lang w:val="en-GB"/>
        </w:rPr>
        <w:t xml:space="preserve">the vision of </w:t>
      </w:r>
      <w:r w:rsidRPr="00BE45CB">
        <w:rPr>
          <w:rFonts w:cstheme="minorHAnsi"/>
          <w:lang w:val="en-GB"/>
        </w:rPr>
        <w:t>what I</w:t>
      </w:r>
      <w:r w:rsidR="003C4397">
        <w:rPr>
          <w:rFonts w:cstheme="minorHAnsi"/>
          <w:lang w:val="en-GB"/>
        </w:rPr>
        <w:t>C</w:t>
      </w:r>
      <w:r w:rsidRPr="00BE45CB">
        <w:rPr>
          <w:rFonts w:cstheme="minorHAnsi"/>
          <w:lang w:val="en-GB"/>
        </w:rPr>
        <w:t xml:space="preserve">T </w:t>
      </w:r>
      <w:r w:rsidR="003C5A64" w:rsidRPr="00BE45CB">
        <w:rPr>
          <w:rFonts w:cstheme="minorHAnsi"/>
          <w:lang w:val="en-GB"/>
        </w:rPr>
        <w:t xml:space="preserve">has to </w:t>
      </w:r>
      <w:r w:rsidR="008B4A2C">
        <w:rPr>
          <w:rFonts w:cstheme="minorHAnsi"/>
          <w:lang w:val="en-GB"/>
        </w:rPr>
        <w:t>offer for the enterprise and how this</w:t>
      </w:r>
      <w:r w:rsidRPr="00BE45CB">
        <w:rPr>
          <w:rFonts w:cstheme="minorHAnsi"/>
          <w:lang w:val="en-GB"/>
        </w:rPr>
        <w:t xml:space="preserve"> should be realized. </w:t>
      </w:r>
      <w:r w:rsidR="00404EEA">
        <w:rPr>
          <w:rFonts w:cstheme="minorHAnsi"/>
          <w:lang w:val="en-GB"/>
        </w:rPr>
        <w:t>EA</w:t>
      </w:r>
      <w:r w:rsidR="003C5A64" w:rsidRPr="00BE45CB">
        <w:rPr>
          <w:rFonts w:cstheme="minorHAnsi"/>
          <w:snapToGrid w:val="0"/>
          <w:lang w:val="en-GB"/>
        </w:rPr>
        <w:t xml:space="preserve"> can be used to </w:t>
      </w:r>
      <w:r w:rsidR="00DE290C">
        <w:rPr>
          <w:rFonts w:cstheme="minorHAnsi"/>
          <w:snapToGrid w:val="0"/>
          <w:lang w:val="en-GB"/>
        </w:rPr>
        <w:t>align IT and business</w:t>
      </w:r>
      <w:r w:rsidR="00317DAF">
        <w:rPr>
          <w:rFonts w:cstheme="minorHAnsi"/>
          <w:snapToGrid w:val="0"/>
          <w:lang w:val="en-GB"/>
        </w:rPr>
        <w:t xml:space="preserve"> strategy</w:t>
      </w:r>
      <w:r w:rsidR="00DE290C">
        <w:rPr>
          <w:rFonts w:cstheme="minorHAnsi"/>
          <w:snapToGrid w:val="0"/>
          <w:lang w:val="en-GB"/>
        </w:rPr>
        <w:t xml:space="preserve">, </w:t>
      </w:r>
      <w:r w:rsidR="00317DAF">
        <w:rPr>
          <w:rFonts w:cstheme="minorHAnsi"/>
          <w:snapToGrid w:val="0"/>
          <w:lang w:val="en-GB"/>
        </w:rPr>
        <w:t xml:space="preserve">support business re-engineering, </w:t>
      </w:r>
      <w:r w:rsidR="00317DAF" w:rsidRPr="00BE45CB">
        <w:rPr>
          <w:rFonts w:cstheme="minorHAnsi"/>
          <w:snapToGrid w:val="0"/>
          <w:lang w:val="en-GB"/>
        </w:rPr>
        <w:t>and</w:t>
      </w:r>
      <w:r w:rsidR="00317DAF">
        <w:rPr>
          <w:rFonts w:cstheme="minorHAnsi"/>
          <w:snapToGrid w:val="0"/>
          <w:lang w:val="en-GB"/>
        </w:rPr>
        <w:t xml:space="preserve"> </w:t>
      </w:r>
      <w:r w:rsidR="003C5A64" w:rsidRPr="00BE45CB">
        <w:rPr>
          <w:rFonts w:cstheme="minorHAnsi"/>
          <w:snapToGrid w:val="0"/>
          <w:lang w:val="en-GB"/>
        </w:rPr>
        <w:t>guide design decisions</w:t>
      </w:r>
      <w:r w:rsidR="00317DAF">
        <w:rPr>
          <w:rFonts w:cstheme="minorHAnsi"/>
          <w:snapToGrid w:val="0"/>
          <w:lang w:val="en-GB"/>
        </w:rPr>
        <w:t xml:space="preserve"> and </w:t>
      </w:r>
      <w:r w:rsidR="00DE290C">
        <w:rPr>
          <w:rFonts w:cstheme="minorHAnsi"/>
          <w:snapToGrid w:val="0"/>
          <w:lang w:val="en-GB"/>
        </w:rPr>
        <w:t>new initiatives</w:t>
      </w:r>
      <w:r w:rsidRPr="00BE45CB">
        <w:rPr>
          <w:rFonts w:cstheme="minorHAnsi"/>
          <w:snapToGrid w:val="0"/>
          <w:lang w:val="en-GB"/>
        </w:rPr>
        <w:t xml:space="preserve">. As such, it is closely intertwined with </w:t>
      </w:r>
      <w:r w:rsidR="004D0654">
        <w:rPr>
          <w:rFonts w:cstheme="minorHAnsi"/>
          <w:snapToGrid w:val="0"/>
          <w:lang w:val="en-GB"/>
        </w:rPr>
        <w:t>architectural governance (A</w:t>
      </w:r>
      <w:r w:rsidRPr="00BE45CB">
        <w:rPr>
          <w:rFonts w:cstheme="minorHAnsi"/>
          <w:snapToGrid w:val="0"/>
          <w:lang w:val="en-GB"/>
        </w:rPr>
        <w:t>G), which can be viewed as the processes and authority for decision-making</w:t>
      </w:r>
      <w:r w:rsidR="00DE290C">
        <w:rPr>
          <w:rFonts w:cstheme="minorHAnsi"/>
          <w:snapToGrid w:val="0"/>
          <w:lang w:val="en-GB"/>
        </w:rPr>
        <w:t xml:space="preserve"> concerning the </w:t>
      </w:r>
      <w:r w:rsidR="00317DAF">
        <w:rPr>
          <w:rFonts w:cstheme="minorHAnsi"/>
          <w:snapToGrid w:val="0"/>
          <w:lang w:val="en-GB"/>
        </w:rPr>
        <w:t xml:space="preserve">use and </w:t>
      </w:r>
      <w:r w:rsidR="00DE290C">
        <w:rPr>
          <w:rFonts w:cstheme="minorHAnsi"/>
          <w:snapToGrid w:val="0"/>
          <w:lang w:val="en-GB"/>
        </w:rPr>
        <w:t xml:space="preserve">development of </w:t>
      </w:r>
      <w:r w:rsidR="00317DAF">
        <w:rPr>
          <w:rFonts w:cstheme="minorHAnsi"/>
          <w:snapToGrid w:val="0"/>
          <w:lang w:val="en-GB"/>
        </w:rPr>
        <w:t>EA</w:t>
      </w:r>
      <w:r w:rsidRPr="00BE45CB">
        <w:rPr>
          <w:rFonts w:cstheme="minorHAnsi"/>
          <w:snapToGrid w:val="0"/>
          <w:lang w:val="en-GB"/>
        </w:rPr>
        <w:t xml:space="preserve">. </w:t>
      </w:r>
      <w:r w:rsidR="007349A4">
        <w:rPr>
          <w:rFonts w:cstheme="minorHAnsi"/>
          <w:snapToGrid w:val="0"/>
          <w:lang w:val="en-GB"/>
        </w:rPr>
        <w:t xml:space="preserve">Despite the significance of having AG </w:t>
      </w:r>
      <w:r w:rsidR="00317DAF">
        <w:rPr>
          <w:rFonts w:cstheme="minorHAnsi"/>
          <w:snapToGrid w:val="0"/>
          <w:lang w:val="en-GB"/>
        </w:rPr>
        <w:t xml:space="preserve">the architecture function is often disconnected from the </w:t>
      </w:r>
      <w:r w:rsidR="008B4A2C">
        <w:rPr>
          <w:rFonts w:cstheme="minorHAnsi"/>
          <w:snapToGrid w:val="0"/>
          <w:lang w:val="en-GB"/>
        </w:rPr>
        <w:t>other p</w:t>
      </w:r>
      <w:r w:rsidR="00317DAF">
        <w:rPr>
          <w:rFonts w:cstheme="minorHAnsi"/>
          <w:snapToGrid w:val="0"/>
          <w:lang w:val="en-GB"/>
        </w:rPr>
        <w:t>art</w:t>
      </w:r>
      <w:r w:rsidR="008B4A2C">
        <w:rPr>
          <w:rFonts w:cstheme="minorHAnsi"/>
          <w:snapToGrid w:val="0"/>
          <w:lang w:val="en-GB"/>
        </w:rPr>
        <w:t>s</w:t>
      </w:r>
      <w:r w:rsidR="00317DAF">
        <w:rPr>
          <w:rFonts w:cstheme="minorHAnsi"/>
          <w:snapToGrid w:val="0"/>
          <w:lang w:val="en-GB"/>
        </w:rPr>
        <w:t xml:space="preserve"> of the enterprise. </w:t>
      </w:r>
      <w:r w:rsidRPr="00BE45CB">
        <w:rPr>
          <w:rFonts w:cstheme="minorHAnsi"/>
          <w:snapToGrid w:val="0"/>
          <w:lang w:val="en-GB"/>
        </w:rPr>
        <w:t>An E</w:t>
      </w:r>
      <w:r w:rsidR="003C5A64" w:rsidRPr="00BE45CB">
        <w:rPr>
          <w:rFonts w:cstheme="minorHAnsi"/>
          <w:snapToGrid w:val="0"/>
          <w:lang w:val="en-GB"/>
        </w:rPr>
        <w:t xml:space="preserve">A identifies the main components of the enterprise, its information systems, the ways in which these components work </w:t>
      </w:r>
      <w:r w:rsidR="003C5A64" w:rsidRPr="00317DAF">
        <w:rPr>
          <w:rFonts w:cstheme="minorHAnsi"/>
          <w:snapToGrid w:val="0"/>
          <w:lang w:val="en-GB"/>
        </w:rPr>
        <w:t>together in order to achieve defined objectives and the way in which the systems support business processes</w:t>
      </w:r>
      <w:r w:rsidRPr="00317DAF">
        <w:rPr>
          <w:rFonts w:cstheme="minorHAnsi"/>
          <w:snapToGrid w:val="0"/>
          <w:lang w:val="en-GB"/>
        </w:rPr>
        <w:t>.</w:t>
      </w:r>
      <w:r w:rsidR="003C5A64" w:rsidRPr="00317DAF">
        <w:rPr>
          <w:rFonts w:cstheme="minorHAnsi"/>
          <w:snapToGrid w:val="0"/>
          <w:lang w:val="en-GB"/>
        </w:rPr>
        <w:t xml:space="preserve"> EA can be conceptualized a</w:t>
      </w:r>
      <w:bookmarkStart w:id="0" w:name="_GoBack"/>
      <w:bookmarkEnd w:id="0"/>
      <w:r w:rsidR="003C5A64" w:rsidRPr="00317DAF">
        <w:rPr>
          <w:rFonts w:cstheme="minorHAnsi"/>
          <w:snapToGrid w:val="0"/>
          <w:lang w:val="en-GB"/>
        </w:rPr>
        <w:t xml:space="preserve">nd characterized </w:t>
      </w:r>
      <w:r w:rsidRPr="00317DAF">
        <w:rPr>
          <w:rFonts w:cstheme="minorHAnsi"/>
          <w:snapToGrid w:val="0"/>
          <w:lang w:val="en-GB"/>
        </w:rPr>
        <w:t xml:space="preserve">in various ways. </w:t>
      </w:r>
      <w:r w:rsidR="008B4A2C">
        <w:rPr>
          <w:rFonts w:cstheme="minorHAnsi"/>
          <w:snapToGrid w:val="0"/>
          <w:lang w:val="en-GB"/>
        </w:rPr>
        <w:t>Enterprise A</w:t>
      </w:r>
      <w:r w:rsidR="00317DAF">
        <w:rPr>
          <w:rFonts w:cstheme="minorHAnsi"/>
          <w:snapToGrid w:val="0"/>
          <w:lang w:val="en-GB"/>
        </w:rPr>
        <w:t>rchitecture</w:t>
      </w:r>
      <w:r w:rsidRPr="00317DAF">
        <w:rPr>
          <w:rFonts w:cstheme="minorHAnsi"/>
          <w:snapToGrid w:val="0"/>
          <w:lang w:val="en-GB"/>
        </w:rPr>
        <w:t xml:space="preserve"> and </w:t>
      </w:r>
      <w:r w:rsidR="008B4A2C">
        <w:rPr>
          <w:rFonts w:cstheme="minorHAnsi"/>
          <w:snapToGrid w:val="0"/>
          <w:lang w:val="en-GB"/>
        </w:rPr>
        <w:t>G</w:t>
      </w:r>
      <w:r w:rsidRPr="00317DAF">
        <w:rPr>
          <w:rFonts w:cstheme="minorHAnsi"/>
          <w:snapToGrid w:val="0"/>
          <w:lang w:val="en-GB"/>
        </w:rPr>
        <w:t>overnance</w:t>
      </w:r>
      <w:r w:rsidR="00FD718B">
        <w:rPr>
          <w:rFonts w:cstheme="minorHAnsi"/>
          <w:snapToGrid w:val="0"/>
          <w:lang w:val="en-GB"/>
        </w:rPr>
        <w:t xml:space="preserve"> </w:t>
      </w:r>
      <w:r w:rsidR="008B4A2C">
        <w:rPr>
          <w:rFonts w:cstheme="minorHAnsi"/>
          <w:snapToGrid w:val="0"/>
          <w:lang w:val="en-GB"/>
        </w:rPr>
        <w:t xml:space="preserve">(EAG) </w:t>
      </w:r>
      <w:r w:rsidRPr="00317DAF">
        <w:rPr>
          <w:rFonts w:cstheme="minorHAnsi"/>
          <w:snapToGrid w:val="0"/>
          <w:lang w:val="en-GB"/>
        </w:rPr>
        <w:t>is a broad field</w:t>
      </w:r>
      <w:r w:rsidR="00AB66FD" w:rsidRPr="00317DAF">
        <w:rPr>
          <w:rFonts w:cstheme="minorHAnsi"/>
          <w:snapToGrid w:val="0"/>
          <w:lang w:val="en-GB"/>
        </w:rPr>
        <w:t xml:space="preserve"> which influence the use </w:t>
      </w:r>
      <w:r w:rsidR="00317DAF" w:rsidRPr="00317DAF">
        <w:rPr>
          <w:rFonts w:cstheme="minorHAnsi"/>
          <w:snapToGrid w:val="0"/>
          <w:lang w:val="en-GB"/>
        </w:rPr>
        <w:t xml:space="preserve">, success </w:t>
      </w:r>
      <w:r w:rsidR="00AB66FD" w:rsidRPr="00317DAF">
        <w:rPr>
          <w:rFonts w:cstheme="minorHAnsi"/>
          <w:snapToGrid w:val="0"/>
          <w:lang w:val="en-GB"/>
        </w:rPr>
        <w:t>and ad</w:t>
      </w:r>
      <w:r w:rsidR="007349A4">
        <w:rPr>
          <w:rFonts w:cstheme="minorHAnsi"/>
          <w:snapToGrid w:val="0"/>
          <w:lang w:val="en-GB"/>
        </w:rPr>
        <w:t>o</w:t>
      </w:r>
      <w:r w:rsidR="00AB66FD" w:rsidRPr="00317DAF">
        <w:rPr>
          <w:rFonts w:cstheme="minorHAnsi"/>
          <w:snapToGrid w:val="0"/>
          <w:lang w:val="en-GB"/>
        </w:rPr>
        <w:t>ption of</w:t>
      </w:r>
      <w:r w:rsidR="008B4A2C">
        <w:rPr>
          <w:rFonts w:cstheme="minorHAnsi"/>
          <w:snapToGrid w:val="0"/>
          <w:lang w:val="en-GB"/>
        </w:rPr>
        <w:t xml:space="preserve"> ICT</w:t>
      </w:r>
      <w:r w:rsidR="00AB66FD" w:rsidRPr="00317DAF">
        <w:rPr>
          <w:rFonts w:cstheme="minorHAnsi"/>
          <w:snapToGrid w:val="0"/>
          <w:lang w:val="en-GB"/>
        </w:rPr>
        <w:t>.</w:t>
      </w:r>
      <w:r w:rsidR="00317DAF">
        <w:rPr>
          <w:rFonts w:cstheme="minorHAnsi"/>
          <w:snapToGrid w:val="0"/>
          <w:lang w:val="en-GB"/>
        </w:rPr>
        <w:t xml:space="preserve"> The relationship between </w:t>
      </w:r>
      <w:r w:rsidR="008B4A2C">
        <w:rPr>
          <w:rFonts w:cstheme="minorHAnsi"/>
          <w:snapToGrid w:val="0"/>
          <w:lang w:val="en-GB"/>
        </w:rPr>
        <w:t>EA</w:t>
      </w:r>
      <w:r w:rsidR="00317DAF">
        <w:rPr>
          <w:rFonts w:cstheme="minorHAnsi"/>
          <w:snapToGrid w:val="0"/>
          <w:lang w:val="en-GB"/>
        </w:rPr>
        <w:t xml:space="preserve"> and </w:t>
      </w:r>
      <w:r w:rsidR="008B4A2C">
        <w:rPr>
          <w:rFonts w:cstheme="minorHAnsi"/>
          <w:snapToGrid w:val="0"/>
          <w:lang w:val="en-GB"/>
        </w:rPr>
        <w:t>AG</w:t>
      </w:r>
      <w:r w:rsidR="00317DAF">
        <w:rPr>
          <w:rFonts w:cstheme="minorHAnsi"/>
          <w:snapToGrid w:val="0"/>
          <w:lang w:val="en-GB"/>
        </w:rPr>
        <w:t xml:space="preserve"> has been given limited attention and are </w:t>
      </w:r>
      <w:r w:rsidR="008B4A2C">
        <w:rPr>
          <w:rFonts w:cstheme="minorHAnsi"/>
          <w:snapToGrid w:val="0"/>
          <w:lang w:val="en-GB"/>
        </w:rPr>
        <w:t xml:space="preserve">influenced and </w:t>
      </w:r>
      <w:r w:rsidR="00317DAF">
        <w:rPr>
          <w:rFonts w:cstheme="minorHAnsi"/>
          <w:snapToGrid w:val="0"/>
          <w:lang w:val="en-GB"/>
        </w:rPr>
        <w:t>shaped</w:t>
      </w:r>
      <w:r w:rsidR="008B4A2C">
        <w:rPr>
          <w:rFonts w:cstheme="minorHAnsi"/>
          <w:snapToGrid w:val="0"/>
          <w:lang w:val="en-GB"/>
        </w:rPr>
        <w:t xml:space="preserve"> by each other</w:t>
      </w:r>
      <w:r w:rsidR="00317DAF">
        <w:rPr>
          <w:rFonts w:cstheme="minorHAnsi"/>
          <w:snapToGrid w:val="0"/>
          <w:lang w:val="en-GB"/>
        </w:rPr>
        <w:t>.</w:t>
      </w:r>
    </w:p>
    <w:p w:rsidR="000D2F38" w:rsidRPr="00720D71" w:rsidRDefault="00516159">
      <w:pPr>
        <w:rPr>
          <w:rFonts w:cstheme="minorHAnsi"/>
          <w:lang w:val="en-GB"/>
        </w:rPr>
      </w:pPr>
      <w:r w:rsidRPr="00516159">
        <w:rPr>
          <w:lang w:val="en-GB"/>
        </w:rPr>
        <w:t xml:space="preserve">The primary strength of the EA approach is that it has </w:t>
      </w:r>
      <w:r w:rsidR="007349A4">
        <w:rPr>
          <w:lang w:val="en-GB"/>
        </w:rPr>
        <w:t>well-</w:t>
      </w:r>
      <w:r w:rsidRPr="00516159">
        <w:rPr>
          <w:lang w:val="en-GB"/>
        </w:rPr>
        <w:t>defined concepts and instruments to</w:t>
      </w:r>
      <w:r w:rsidR="00FD718B">
        <w:rPr>
          <w:lang w:val="en-GB"/>
        </w:rPr>
        <w:t xml:space="preserve"> </w:t>
      </w:r>
      <w:r w:rsidRPr="00604B81">
        <w:rPr>
          <w:lang w:val="en-GB"/>
        </w:rPr>
        <w:t xml:space="preserve">control and develop complex, technological systems. </w:t>
      </w:r>
      <w:r w:rsidR="007349A4">
        <w:rPr>
          <w:lang w:val="en-GB"/>
        </w:rPr>
        <w:t>Nevertheless, m</w:t>
      </w:r>
      <w:r w:rsidR="00AB66FD" w:rsidRPr="00604B81">
        <w:rPr>
          <w:rFonts w:cstheme="minorHAnsi"/>
          <w:lang w:val="en-GB"/>
        </w:rPr>
        <w:t xml:space="preserve">uch of the past research </w:t>
      </w:r>
      <w:r w:rsidR="00E01717" w:rsidRPr="00604B81">
        <w:rPr>
          <w:rFonts w:cstheme="minorHAnsi"/>
          <w:lang w:val="en-GB"/>
        </w:rPr>
        <w:t xml:space="preserve">on EA </w:t>
      </w:r>
      <w:r w:rsidR="00AB66FD" w:rsidRPr="00604B81">
        <w:rPr>
          <w:rFonts w:cstheme="minorHAnsi"/>
          <w:lang w:val="en-GB"/>
        </w:rPr>
        <w:t xml:space="preserve">can be </w:t>
      </w:r>
      <w:r w:rsidR="003C5A64" w:rsidRPr="00604B81">
        <w:rPr>
          <w:rFonts w:cstheme="minorHAnsi"/>
          <w:snapToGrid w:val="0"/>
          <w:lang w:val="en-GB"/>
        </w:rPr>
        <w:t xml:space="preserve">criticized </w:t>
      </w:r>
      <w:r w:rsidR="00AB66FD" w:rsidRPr="00604B81">
        <w:rPr>
          <w:rFonts w:cstheme="minorHAnsi"/>
          <w:snapToGrid w:val="0"/>
          <w:lang w:val="en-GB"/>
        </w:rPr>
        <w:t xml:space="preserve">for </w:t>
      </w:r>
      <w:r w:rsidR="00AB66FD">
        <w:rPr>
          <w:rFonts w:cstheme="minorHAnsi"/>
          <w:snapToGrid w:val="0"/>
          <w:lang w:val="en-GB"/>
        </w:rPr>
        <w:t xml:space="preserve">taking a technologist view or </w:t>
      </w:r>
      <w:r w:rsidR="00604B81">
        <w:rPr>
          <w:rFonts w:cstheme="minorHAnsi"/>
          <w:snapToGrid w:val="0"/>
          <w:lang w:val="en-GB"/>
        </w:rPr>
        <w:t>being too abstract</w:t>
      </w:r>
      <w:r w:rsidR="00AB66FD">
        <w:rPr>
          <w:rFonts w:cstheme="minorHAnsi"/>
          <w:snapToGrid w:val="0"/>
          <w:lang w:val="en-GB"/>
        </w:rPr>
        <w:t xml:space="preserve">. </w:t>
      </w:r>
      <w:r w:rsidR="00AB66FD" w:rsidRPr="00BE45CB">
        <w:rPr>
          <w:rFonts w:cstheme="minorHAnsi"/>
          <w:lang w:val="en-GB"/>
        </w:rPr>
        <w:t>Architecture models, principles and standar</w:t>
      </w:r>
      <w:r w:rsidR="00AB66FD">
        <w:rPr>
          <w:rFonts w:cstheme="minorHAnsi"/>
          <w:lang w:val="en-GB"/>
        </w:rPr>
        <w:t>ds make</w:t>
      </w:r>
      <w:r w:rsidR="00604B81">
        <w:rPr>
          <w:rFonts w:cstheme="minorHAnsi"/>
          <w:lang w:val="en-GB"/>
        </w:rPr>
        <w:t xml:space="preserve"> up the content of EA</w:t>
      </w:r>
      <w:r w:rsidR="001A58E0">
        <w:rPr>
          <w:rFonts w:cstheme="minorHAnsi"/>
          <w:lang w:val="en-GB"/>
        </w:rPr>
        <w:t xml:space="preserve">, yet there is little research how this </w:t>
      </w:r>
      <w:r w:rsidR="00E0062E">
        <w:rPr>
          <w:rFonts w:cstheme="minorHAnsi"/>
          <w:lang w:val="en-GB"/>
        </w:rPr>
        <w:t xml:space="preserve">and other factors are </w:t>
      </w:r>
      <w:r w:rsidR="001A58E0">
        <w:rPr>
          <w:rFonts w:cstheme="minorHAnsi"/>
          <w:lang w:val="en-GB"/>
        </w:rPr>
        <w:t>related to the performance and success</w:t>
      </w:r>
      <w:r w:rsidR="00446C5E">
        <w:rPr>
          <w:rFonts w:cstheme="minorHAnsi"/>
          <w:lang w:val="en-GB"/>
        </w:rPr>
        <w:t xml:space="preserve"> and which capabilities and assets are needed</w:t>
      </w:r>
      <w:r w:rsidR="001A58E0">
        <w:rPr>
          <w:rFonts w:cstheme="minorHAnsi"/>
          <w:lang w:val="en-GB"/>
        </w:rPr>
        <w:t xml:space="preserve">. </w:t>
      </w:r>
      <w:r w:rsidR="001A58E0">
        <w:rPr>
          <w:rFonts w:cstheme="minorHAnsi"/>
          <w:snapToGrid w:val="0"/>
          <w:lang w:val="en-GB"/>
        </w:rPr>
        <w:t>Architectures are</w:t>
      </w:r>
      <w:r w:rsidR="001A58E0" w:rsidRPr="00BE45CB">
        <w:rPr>
          <w:rFonts w:cstheme="minorHAnsi"/>
          <w:lang w:val="en-GB"/>
        </w:rPr>
        <w:t xml:space="preserve"> meaningle</w:t>
      </w:r>
      <w:r w:rsidR="00604B81">
        <w:rPr>
          <w:rFonts w:cstheme="minorHAnsi"/>
          <w:lang w:val="en-GB"/>
        </w:rPr>
        <w:t>ss if they</w:t>
      </w:r>
      <w:r w:rsidR="001A58E0">
        <w:rPr>
          <w:rFonts w:cstheme="minorHAnsi"/>
          <w:lang w:val="en-GB"/>
        </w:rPr>
        <w:t xml:space="preserve"> </w:t>
      </w:r>
      <w:r w:rsidR="00604B81">
        <w:rPr>
          <w:rFonts w:cstheme="minorHAnsi"/>
          <w:lang w:val="en-GB"/>
        </w:rPr>
        <w:t>are</w:t>
      </w:r>
      <w:r w:rsidR="001A58E0">
        <w:rPr>
          <w:rFonts w:cstheme="minorHAnsi"/>
          <w:lang w:val="en-GB"/>
        </w:rPr>
        <w:t xml:space="preserve"> not adopted and used</w:t>
      </w:r>
      <w:r w:rsidR="001A58E0" w:rsidRPr="00BE45CB">
        <w:rPr>
          <w:rFonts w:cstheme="minorHAnsi"/>
          <w:lang w:val="en-GB"/>
        </w:rPr>
        <w:t>.</w:t>
      </w:r>
      <w:r w:rsidR="001A58E0">
        <w:rPr>
          <w:rFonts w:cstheme="minorHAnsi"/>
          <w:lang w:val="en-GB"/>
        </w:rPr>
        <w:t xml:space="preserve"> </w:t>
      </w:r>
      <w:r w:rsidR="00AB66FD">
        <w:rPr>
          <w:rFonts w:cstheme="minorHAnsi"/>
          <w:snapToGrid w:val="0"/>
          <w:lang w:val="en-GB"/>
        </w:rPr>
        <w:t xml:space="preserve">Furthermore, </w:t>
      </w:r>
      <w:r w:rsidR="001A58E0">
        <w:rPr>
          <w:rFonts w:cstheme="minorHAnsi"/>
          <w:snapToGrid w:val="0"/>
          <w:lang w:val="en-GB"/>
        </w:rPr>
        <w:t xml:space="preserve">architectures </w:t>
      </w:r>
      <w:r w:rsidR="00604B81">
        <w:rPr>
          <w:rFonts w:cstheme="minorHAnsi"/>
          <w:snapToGrid w:val="0"/>
          <w:lang w:val="en-GB"/>
        </w:rPr>
        <w:t xml:space="preserve">need to be flexible and agile to </w:t>
      </w:r>
      <w:r w:rsidR="007349A4">
        <w:rPr>
          <w:rFonts w:cstheme="minorHAnsi"/>
          <w:snapToGrid w:val="0"/>
          <w:lang w:val="en-GB"/>
        </w:rPr>
        <w:t>incorporate</w:t>
      </w:r>
      <w:r w:rsidR="00604B81">
        <w:rPr>
          <w:rFonts w:cstheme="minorHAnsi"/>
          <w:snapToGrid w:val="0"/>
          <w:lang w:val="en-GB"/>
        </w:rPr>
        <w:t xml:space="preserve"> new technology. There is a</w:t>
      </w:r>
      <w:r w:rsidR="001A58E0">
        <w:rPr>
          <w:rFonts w:cstheme="minorHAnsi"/>
          <w:snapToGrid w:val="0"/>
          <w:lang w:val="en-GB"/>
        </w:rPr>
        <w:t xml:space="preserve"> </w:t>
      </w:r>
      <w:r w:rsidR="00AB66FD">
        <w:rPr>
          <w:rFonts w:cstheme="minorHAnsi"/>
          <w:snapToGrid w:val="0"/>
          <w:lang w:val="en-GB"/>
        </w:rPr>
        <w:t xml:space="preserve">shift from </w:t>
      </w:r>
      <w:r w:rsidR="00C867E6">
        <w:rPr>
          <w:rFonts w:cstheme="minorHAnsi"/>
          <w:snapToGrid w:val="0"/>
          <w:lang w:val="en-GB"/>
        </w:rPr>
        <w:t>the</w:t>
      </w:r>
      <w:r w:rsidR="007349A4">
        <w:rPr>
          <w:rFonts w:cstheme="minorHAnsi"/>
          <w:snapToGrid w:val="0"/>
          <w:lang w:val="en-GB"/>
        </w:rPr>
        <w:t xml:space="preserve"> use of EA at the</w:t>
      </w:r>
      <w:r w:rsidR="00C867E6">
        <w:rPr>
          <w:rFonts w:cstheme="minorHAnsi"/>
          <w:snapToGrid w:val="0"/>
          <w:lang w:val="en-GB"/>
        </w:rPr>
        <w:t xml:space="preserve"> </w:t>
      </w:r>
      <w:r w:rsidR="00AB66FD">
        <w:rPr>
          <w:rFonts w:cstheme="minorHAnsi"/>
          <w:snapToGrid w:val="0"/>
          <w:lang w:val="en-GB"/>
        </w:rPr>
        <w:t>organizational</w:t>
      </w:r>
      <w:r w:rsidR="00C867E6">
        <w:rPr>
          <w:rFonts w:cstheme="minorHAnsi"/>
          <w:snapToGrid w:val="0"/>
          <w:lang w:val="en-GB"/>
        </w:rPr>
        <w:t xml:space="preserve"> to the </w:t>
      </w:r>
      <w:proofErr w:type="spellStart"/>
      <w:r w:rsidR="00C867E6">
        <w:rPr>
          <w:rFonts w:cstheme="minorHAnsi"/>
          <w:snapToGrid w:val="0"/>
          <w:lang w:val="en-GB"/>
        </w:rPr>
        <w:t>interorganizational</w:t>
      </w:r>
      <w:proofErr w:type="spellEnd"/>
      <w:r w:rsidR="00C867E6">
        <w:rPr>
          <w:rFonts w:cstheme="minorHAnsi"/>
          <w:snapToGrid w:val="0"/>
          <w:lang w:val="en-GB"/>
        </w:rPr>
        <w:t xml:space="preserve"> level; </w:t>
      </w:r>
      <w:r w:rsidR="007349A4">
        <w:rPr>
          <w:rFonts w:cstheme="minorHAnsi"/>
          <w:snapToGrid w:val="0"/>
          <w:lang w:val="en-GB"/>
        </w:rPr>
        <w:t>architectures for supply chain and networks</w:t>
      </w:r>
      <w:r w:rsidR="00AB66FD" w:rsidRPr="00720D71">
        <w:rPr>
          <w:rFonts w:cstheme="minorHAnsi"/>
          <w:snapToGrid w:val="0"/>
          <w:lang w:val="en-GB"/>
        </w:rPr>
        <w:t xml:space="preserve">. </w:t>
      </w:r>
    </w:p>
    <w:p w:rsidR="003C4397" w:rsidRPr="00720D71" w:rsidRDefault="003C4397" w:rsidP="003C4397">
      <w:pPr>
        <w:rPr>
          <w:rFonts w:cs="Calibri"/>
          <w:lang w:val="en-US"/>
        </w:rPr>
      </w:pPr>
      <w:r w:rsidRPr="00720D71">
        <w:rPr>
          <w:lang w:val="en-US"/>
        </w:rPr>
        <w:t>The aim of this track is to provide a common platform for discussion and presentation of original research highlighting issues related with Enterprise Architecture and Governance. Specifically, topics of interest may include (but not limited to) the following:</w:t>
      </w:r>
    </w:p>
    <w:p w:rsidR="000D2F38" w:rsidRPr="00720D71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720D71">
        <w:rPr>
          <w:rFonts w:cstheme="minorHAnsi"/>
          <w:shd w:val="clear" w:color="auto" w:fill="FFFFFF"/>
          <w:lang w:val="en-GB"/>
        </w:rPr>
        <w:t>Enterprise architecture</w:t>
      </w:r>
      <w:r w:rsidR="003C4397" w:rsidRPr="00720D71">
        <w:rPr>
          <w:rFonts w:cstheme="minorHAnsi"/>
          <w:shd w:val="clear" w:color="auto" w:fill="FFFFFF"/>
          <w:lang w:val="en-GB"/>
        </w:rPr>
        <w:t xml:space="preserve">, reference </w:t>
      </w:r>
      <w:r w:rsidR="00720D71" w:rsidRPr="00720D71">
        <w:rPr>
          <w:rFonts w:cstheme="minorHAnsi"/>
          <w:shd w:val="clear" w:color="auto" w:fill="FFFFFF"/>
          <w:lang w:val="en-GB"/>
        </w:rPr>
        <w:t>architectures</w:t>
      </w:r>
      <w:r w:rsidR="00E93161" w:rsidRPr="00720D71">
        <w:rPr>
          <w:rFonts w:cstheme="minorHAnsi"/>
          <w:shd w:val="clear" w:color="auto" w:fill="FFFFFF"/>
          <w:lang w:val="en-GB"/>
        </w:rPr>
        <w:t xml:space="preserve"> and design science</w:t>
      </w:r>
    </w:p>
    <w:p w:rsidR="003C5A64" w:rsidRPr="00720D71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720D71">
        <w:rPr>
          <w:rFonts w:cstheme="minorHAnsi"/>
          <w:shd w:val="clear" w:color="auto" w:fill="FFFFFF"/>
          <w:lang w:val="en-GB"/>
        </w:rPr>
        <w:t>Governmental architectures</w:t>
      </w:r>
      <w:r w:rsidR="003C4397" w:rsidRPr="00720D71">
        <w:rPr>
          <w:rFonts w:cstheme="minorHAnsi"/>
          <w:shd w:val="clear" w:color="auto" w:fill="FFFFFF"/>
          <w:lang w:val="en-GB"/>
        </w:rPr>
        <w:t xml:space="preserve"> (GA)</w:t>
      </w:r>
      <w:r w:rsidRPr="00720D71">
        <w:rPr>
          <w:rFonts w:cstheme="minorHAnsi"/>
          <w:shd w:val="clear" w:color="auto" w:fill="FFFFFF"/>
          <w:lang w:val="en-GB"/>
        </w:rPr>
        <w:t xml:space="preserve">, national </w:t>
      </w:r>
      <w:r w:rsidR="003C4397" w:rsidRPr="00720D71">
        <w:rPr>
          <w:rFonts w:cstheme="minorHAnsi"/>
          <w:shd w:val="clear" w:color="auto" w:fill="FFFFFF"/>
          <w:lang w:val="en-GB"/>
        </w:rPr>
        <w:t xml:space="preserve">government </w:t>
      </w:r>
      <w:r w:rsidRPr="00720D71">
        <w:rPr>
          <w:rFonts w:cstheme="minorHAnsi"/>
          <w:shd w:val="clear" w:color="auto" w:fill="FFFFFF"/>
          <w:lang w:val="en-GB"/>
        </w:rPr>
        <w:t>architectures</w:t>
      </w:r>
      <w:r w:rsidR="003C4397" w:rsidRPr="00720D71">
        <w:rPr>
          <w:rFonts w:cstheme="minorHAnsi"/>
          <w:shd w:val="clear" w:color="auto" w:fill="FFFFFF"/>
          <w:lang w:val="en-GB"/>
        </w:rPr>
        <w:t xml:space="preserve"> (NGA) </w:t>
      </w:r>
    </w:p>
    <w:p w:rsidR="003C5A64" w:rsidRPr="00BE45CB" w:rsidRDefault="00AA7642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720D71">
        <w:rPr>
          <w:rFonts w:cstheme="minorHAnsi"/>
          <w:shd w:val="clear" w:color="auto" w:fill="FFFFFF"/>
          <w:lang w:val="en-GB"/>
        </w:rPr>
        <w:t>Conceptualizing a</w:t>
      </w:r>
      <w:r w:rsidR="00E93161" w:rsidRPr="00720D71">
        <w:rPr>
          <w:rFonts w:cstheme="minorHAnsi"/>
          <w:shd w:val="clear" w:color="auto" w:fill="FFFFFF"/>
          <w:lang w:val="en-GB"/>
        </w:rPr>
        <w:t>rchitectu</w:t>
      </w:r>
      <w:r w:rsidR="003C5A64" w:rsidRPr="00720D71">
        <w:rPr>
          <w:rFonts w:cstheme="minorHAnsi"/>
          <w:shd w:val="clear" w:color="auto" w:fill="FFFFFF"/>
          <w:lang w:val="en-GB"/>
        </w:rPr>
        <w:t>r</w:t>
      </w:r>
      <w:r w:rsidR="00E93161" w:rsidRPr="00720D71">
        <w:rPr>
          <w:rFonts w:cstheme="minorHAnsi"/>
          <w:shd w:val="clear" w:color="auto" w:fill="FFFFFF"/>
          <w:lang w:val="en-GB"/>
        </w:rPr>
        <w:t>e</w:t>
      </w:r>
      <w:r w:rsidRPr="00720D71">
        <w:rPr>
          <w:rFonts w:cstheme="minorHAnsi"/>
          <w:shd w:val="clear" w:color="auto" w:fill="FFFFFF"/>
          <w:lang w:val="en-GB"/>
        </w:rPr>
        <w:t>; architecture</w:t>
      </w:r>
      <w:r w:rsidR="003C5A64" w:rsidRPr="00720D71">
        <w:rPr>
          <w:rFonts w:cstheme="minorHAnsi"/>
          <w:shd w:val="clear" w:color="auto" w:fill="FFFFFF"/>
          <w:lang w:val="en-GB"/>
        </w:rPr>
        <w:t xml:space="preserve"> </w:t>
      </w:r>
      <w:r w:rsidR="003C5A64" w:rsidRPr="00BE45CB">
        <w:rPr>
          <w:rFonts w:cstheme="minorHAnsi"/>
          <w:shd w:val="clear" w:color="auto" w:fill="FFFFFF"/>
          <w:lang w:val="en-GB"/>
        </w:rPr>
        <w:t>as</w:t>
      </w:r>
      <w:r>
        <w:rPr>
          <w:rFonts w:cstheme="minorHAnsi"/>
          <w:shd w:val="clear" w:color="auto" w:fill="FFFFFF"/>
          <w:lang w:val="en-GB"/>
        </w:rPr>
        <w:t xml:space="preserve"> product and</w:t>
      </w:r>
      <w:r w:rsidR="003C5A64" w:rsidRPr="00BE45CB">
        <w:rPr>
          <w:rFonts w:cstheme="minorHAnsi"/>
          <w:shd w:val="clear" w:color="auto" w:fill="FFFFFF"/>
          <w:lang w:val="en-GB"/>
        </w:rPr>
        <w:t xml:space="preserve"> process</w:t>
      </w:r>
      <w:r w:rsidR="0085443F">
        <w:rPr>
          <w:rFonts w:cstheme="minorHAnsi"/>
          <w:shd w:val="clear" w:color="auto" w:fill="FFFFFF"/>
          <w:lang w:val="en-GB"/>
        </w:rPr>
        <w:t>; life-cycle management</w:t>
      </w:r>
    </w:p>
    <w:p w:rsidR="003C5A64" w:rsidRPr="00BE45CB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Socio-technical aspects of architecture</w:t>
      </w:r>
    </w:p>
    <w:p w:rsidR="003C5A64" w:rsidRPr="00BE45CB" w:rsidRDefault="003C4397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Architectural</w:t>
      </w:r>
      <w:r w:rsidR="003C5A64" w:rsidRPr="00BE45CB">
        <w:rPr>
          <w:rFonts w:cstheme="minorHAnsi"/>
          <w:shd w:val="clear" w:color="auto" w:fill="FFFFFF"/>
          <w:lang w:val="en-GB"/>
        </w:rPr>
        <w:t xml:space="preserve"> frameworks, models, tools and principles</w:t>
      </w:r>
    </w:p>
    <w:p w:rsidR="003C5A64" w:rsidRPr="00BE45CB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Architecture</w:t>
      </w:r>
      <w:r w:rsidR="00AA7642">
        <w:rPr>
          <w:rFonts w:cstheme="minorHAnsi"/>
          <w:shd w:val="clear" w:color="auto" w:fill="FFFFFF"/>
          <w:lang w:val="en-GB"/>
        </w:rPr>
        <w:t>, infrastructure developments</w:t>
      </w:r>
      <w:r w:rsidRPr="00BE45CB">
        <w:rPr>
          <w:rFonts w:cstheme="minorHAnsi"/>
          <w:shd w:val="clear" w:color="auto" w:fill="FFFFFF"/>
          <w:lang w:val="en-GB"/>
        </w:rPr>
        <w:t xml:space="preserve"> and institutions</w:t>
      </w:r>
      <w:r w:rsidR="00E93161" w:rsidRPr="00BE45CB">
        <w:rPr>
          <w:rFonts w:cstheme="minorHAnsi"/>
          <w:shd w:val="clear" w:color="auto" w:fill="FFFFFF"/>
          <w:lang w:val="en-GB"/>
        </w:rPr>
        <w:t xml:space="preserve"> </w:t>
      </w:r>
    </w:p>
    <w:p w:rsidR="003C5A64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Architecture quality, measurement, benchmarking, assessment and performance</w:t>
      </w:r>
    </w:p>
    <w:p w:rsidR="00450740" w:rsidRDefault="00450740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Strategic I</w:t>
      </w:r>
      <w:r w:rsidR="003C4397">
        <w:rPr>
          <w:rFonts w:cstheme="minorHAnsi"/>
          <w:shd w:val="clear" w:color="auto" w:fill="FFFFFF"/>
          <w:lang w:val="en-GB"/>
        </w:rPr>
        <w:t>C</w:t>
      </w:r>
      <w:r>
        <w:rPr>
          <w:rFonts w:cstheme="minorHAnsi"/>
          <w:shd w:val="clear" w:color="auto" w:fill="FFFFFF"/>
          <w:lang w:val="en-GB"/>
        </w:rPr>
        <w:t>T-planning; business and I</w:t>
      </w:r>
      <w:r w:rsidR="003C4397">
        <w:rPr>
          <w:rFonts w:cstheme="minorHAnsi"/>
          <w:shd w:val="clear" w:color="auto" w:fill="FFFFFF"/>
          <w:lang w:val="en-GB"/>
        </w:rPr>
        <w:t>C</w:t>
      </w:r>
      <w:r>
        <w:rPr>
          <w:rFonts w:cstheme="minorHAnsi"/>
          <w:shd w:val="clear" w:color="auto" w:fill="FFFFFF"/>
          <w:lang w:val="en-GB"/>
        </w:rPr>
        <w:t>T architectures</w:t>
      </w:r>
    </w:p>
    <w:p w:rsidR="00E0062E" w:rsidRPr="00BE45CB" w:rsidRDefault="00E0062E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Architectural aspects and views including re-use, privacy security, compliance</w:t>
      </w:r>
    </w:p>
    <w:p w:rsidR="00E0062E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Critical success factors</w:t>
      </w:r>
      <w:r w:rsidR="00450740">
        <w:rPr>
          <w:rFonts w:cstheme="minorHAnsi"/>
          <w:shd w:val="clear" w:color="auto" w:fill="FFFFFF"/>
          <w:lang w:val="en-GB"/>
        </w:rPr>
        <w:t xml:space="preserve">, </w:t>
      </w:r>
      <w:r w:rsidR="00E0062E">
        <w:rPr>
          <w:rFonts w:cstheme="minorHAnsi"/>
          <w:shd w:val="clear" w:color="auto" w:fill="FFFFFF"/>
          <w:lang w:val="en-GB"/>
        </w:rPr>
        <w:t>benefits, organizational success and capabilities</w:t>
      </w:r>
    </w:p>
    <w:p w:rsidR="003C5A64" w:rsidRPr="00BE45CB" w:rsidRDefault="00E0062E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A</w:t>
      </w:r>
      <w:r w:rsidR="00450740">
        <w:rPr>
          <w:rFonts w:cstheme="minorHAnsi"/>
          <w:shd w:val="clear" w:color="auto" w:fill="FFFFFF"/>
          <w:lang w:val="en-GB"/>
        </w:rPr>
        <w:t>rchitecture</w:t>
      </w:r>
      <w:r>
        <w:rPr>
          <w:rFonts w:cstheme="minorHAnsi"/>
          <w:shd w:val="clear" w:color="auto" w:fill="FFFFFF"/>
          <w:lang w:val="en-GB"/>
        </w:rPr>
        <w:t xml:space="preserve"> and governance</w:t>
      </w:r>
      <w:r w:rsidR="00450740">
        <w:rPr>
          <w:rFonts w:cstheme="minorHAnsi"/>
          <w:shd w:val="clear" w:color="auto" w:fill="FFFFFF"/>
          <w:lang w:val="en-GB"/>
        </w:rPr>
        <w:t xml:space="preserve"> methodologies</w:t>
      </w:r>
      <w:r>
        <w:rPr>
          <w:rFonts w:cstheme="minorHAnsi"/>
          <w:shd w:val="clear" w:color="auto" w:fill="FFFFFF"/>
          <w:lang w:val="en-GB"/>
        </w:rPr>
        <w:t>, practices and comparative research</w:t>
      </w:r>
    </w:p>
    <w:p w:rsidR="003C5A64" w:rsidRPr="00BE45CB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Ne</w:t>
      </w:r>
      <w:r w:rsidR="00BE45CB">
        <w:rPr>
          <w:rFonts w:cstheme="minorHAnsi"/>
          <w:shd w:val="clear" w:color="auto" w:fill="FFFFFF"/>
          <w:lang w:val="en-GB"/>
        </w:rPr>
        <w:t>w technology development</w:t>
      </w:r>
      <w:r w:rsidR="00E0062E">
        <w:rPr>
          <w:rFonts w:cstheme="minorHAnsi"/>
          <w:shd w:val="clear" w:color="auto" w:fill="FFFFFF"/>
          <w:lang w:val="en-GB"/>
        </w:rPr>
        <w:t>s</w:t>
      </w:r>
      <w:r w:rsidR="00BE45CB">
        <w:rPr>
          <w:rFonts w:cstheme="minorHAnsi"/>
          <w:shd w:val="clear" w:color="auto" w:fill="FFFFFF"/>
          <w:lang w:val="en-GB"/>
        </w:rPr>
        <w:t>, cloud architecture</w:t>
      </w:r>
      <w:r w:rsidR="00AA7642">
        <w:rPr>
          <w:rFonts w:cstheme="minorHAnsi"/>
          <w:shd w:val="clear" w:color="auto" w:fill="FFFFFF"/>
          <w:lang w:val="en-GB"/>
        </w:rPr>
        <w:t>s</w:t>
      </w:r>
      <w:r w:rsidRPr="00BE45CB">
        <w:rPr>
          <w:rFonts w:cstheme="minorHAnsi"/>
          <w:shd w:val="clear" w:color="auto" w:fill="FFFFFF"/>
          <w:lang w:val="en-GB"/>
        </w:rPr>
        <w:t xml:space="preserve">, </w:t>
      </w:r>
      <w:r w:rsidR="00E0062E">
        <w:rPr>
          <w:rFonts w:cstheme="minorHAnsi"/>
          <w:shd w:val="clear" w:color="auto" w:fill="FFFFFF"/>
          <w:lang w:val="en-GB"/>
        </w:rPr>
        <w:t xml:space="preserve">semantics, </w:t>
      </w:r>
      <w:r w:rsidR="00BE45CB">
        <w:rPr>
          <w:rFonts w:cstheme="minorHAnsi"/>
          <w:shd w:val="clear" w:color="auto" w:fill="FFFFFF"/>
          <w:lang w:val="en-GB"/>
        </w:rPr>
        <w:t>Software as a Service (</w:t>
      </w:r>
      <w:proofErr w:type="spellStart"/>
      <w:r w:rsidRPr="00BE45CB">
        <w:rPr>
          <w:rFonts w:cstheme="minorHAnsi"/>
          <w:shd w:val="clear" w:color="auto" w:fill="FFFFFF"/>
          <w:lang w:val="en-GB"/>
        </w:rPr>
        <w:t>SaaS</w:t>
      </w:r>
      <w:proofErr w:type="spellEnd"/>
      <w:r w:rsidR="00BE45CB">
        <w:rPr>
          <w:rFonts w:cstheme="minorHAnsi"/>
          <w:shd w:val="clear" w:color="auto" w:fill="FFFFFF"/>
          <w:lang w:val="en-GB"/>
        </w:rPr>
        <w:t>)</w:t>
      </w:r>
    </w:p>
    <w:p w:rsidR="003C5A64" w:rsidRPr="00BE45CB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IT-governance, architectural governance</w:t>
      </w:r>
      <w:r w:rsidR="004D0654">
        <w:rPr>
          <w:rFonts w:cstheme="minorHAnsi"/>
          <w:shd w:val="clear" w:color="auto" w:fill="FFFFFF"/>
          <w:lang w:val="en-GB"/>
        </w:rPr>
        <w:t xml:space="preserve"> (AG)</w:t>
      </w:r>
      <w:r w:rsidR="00E0062E">
        <w:rPr>
          <w:rFonts w:cstheme="minorHAnsi"/>
          <w:shd w:val="clear" w:color="auto" w:fill="FFFFFF"/>
          <w:lang w:val="en-GB"/>
        </w:rPr>
        <w:t>, decision-making</w:t>
      </w:r>
    </w:p>
    <w:p w:rsidR="003C5A64" w:rsidRDefault="003C5A64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t>Shared services</w:t>
      </w:r>
      <w:r w:rsidR="00BE45CB">
        <w:rPr>
          <w:rFonts w:cstheme="minorHAnsi"/>
          <w:shd w:val="clear" w:color="auto" w:fill="FFFFFF"/>
          <w:lang w:val="en-GB"/>
        </w:rPr>
        <w:t>, service-oriented architectures</w:t>
      </w:r>
      <w:r w:rsidR="003C4397">
        <w:rPr>
          <w:rFonts w:cstheme="minorHAnsi"/>
          <w:shd w:val="clear" w:color="auto" w:fill="FFFFFF"/>
          <w:lang w:val="en-GB"/>
        </w:rPr>
        <w:t xml:space="preserve"> (SOA), flexibility and agility</w:t>
      </w:r>
    </w:p>
    <w:p w:rsidR="00E0062E" w:rsidRPr="00BE45CB" w:rsidRDefault="00E0062E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Public-private architectures, collaborative development</w:t>
      </w:r>
    </w:p>
    <w:p w:rsidR="00E93161" w:rsidRDefault="00E93161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lastRenderedPageBreak/>
        <w:t xml:space="preserve">Modes </w:t>
      </w:r>
      <w:r w:rsidR="00BE45CB">
        <w:rPr>
          <w:rFonts w:cstheme="minorHAnsi"/>
          <w:shd w:val="clear" w:color="auto" w:fill="FFFFFF"/>
          <w:lang w:val="en-GB"/>
        </w:rPr>
        <w:t>of governance, governance arran</w:t>
      </w:r>
      <w:r w:rsidRPr="00BE45CB">
        <w:rPr>
          <w:rFonts w:cstheme="minorHAnsi"/>
          <w:shd w:val="clear" w:color="auto" w:fill="FFFFFF"/>
          <w:lang w:val="en-GB"/>
        </w:rPr>
        <w:t>g</w:t>
      </w:r>
      <w:r w:rsidR="00BE45CB">
        <w:rPr>
          <w:rFonts w:cstheme="minorHAnsi"/>
          <w:shd w:val="clear" w:color="auto" w:fill="FFFFFF"/>
          <w:lang w:val="en-GB"/>
        </w:rPr>
        <w:t>e</w:t>
      </w:r>
      <w:r w:rsidRPr="00BE45CB">
        <w:rPr>
          <w:rFonts w:cstheme="minorHAnsi"/>
          <w:shd w:val="clear" w:color="auto" w:fill="FFFFFF"/>
          <w:lang w:val="en-GB"/>
        </w:rPr>
        <w:t>ments</w:t>
      </w:r>
      <w:r w:rsidR="006C5332">
        <w:rPr>
          <w:rFonts w:cstheme="minorHAnsi"/>
          <w:shd w:val="clear" w:color="auto" w:fill="FFFFFF"/>
          <w:lang w:val="en-GB"/>
        </w:rPr>
        <w:t>, CIOs</w:t>
      </w:r>
    </w:p>
    <w:p w:rsidR="00BE45CB" w:rsidRPr="00BE45CB" w:rsidRDefault="00BE45CB" w:rsidP="003C5A64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>Open architectures and infrastructure developments</w:t>
      </w:r>
    </w:p>
    <w:p w:rsidR="000D2F38" w:rsidRPr="00BE45CB" w:rsidRDefault="000D2F38">
      <w:pPr>
        <w:rPr>
          <w:rFonts w:cstheme="minorHAnsi"/>
          <w:b/>
          <w:shd w:val="clear" w:color="auto" w:fill="FFFFFF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br/>
      </w:r>
      <w:r w:rsidRPr="00BE45CB">
        <w:rPr>
          <w:rFonts w:cstheme="minorHAnsi"/>
          <w:b/>
          <w:shd w:val="clear" w:color="auto" w:fill="FFFFFF"/>
          <w:lang w:val="en-GB"/>
        </w:rPr>
        <w:t>Track chairs</w:t>
      </w:r>
    </w:p>
    <w:p w:rsidR="00D62D24" w:rsidRPr="00BE45CB" w:rsidRDefault="00D62D24" w:rsidP="00D62D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45CB">
        <w:rPr>
          <w:rFonts w:cstheme="minorHAnsi"/>
          <w:color w:val="000000"/>
        </w:rPr>
        <w:t>Marijn Janssen, E-mail: m.f.w.h.a.janssen@tudelft.nl</w:t>
      </w:r>
    </w:p>
    <w:p w:rsidR="00D62D24" w:rsidRPr="00BE45CB" w:rsidRDefault="00D62D24" w:rsidP="00D62D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BE45CB">
        <w:rPr>
          <w:rFonts w:cstheme="minorHAnsi"/>
          <w:color w:val="000000"/>
          <w:lang w:val="en-GB"/>
        </w:rPr>
        <w:t>Faculty of Technology, Policy and Management,</w:t>
      </w:r>
      <w:r w:rsidR="00720D71">
        <w:rPr>
          <w:rFonts w:cstheme="minorHAnsi"/>
          <w:color w:val="000000"/>
          <w:lang w:val="en-GB"/>
        </w:rPr>
        <w:t xml:space="preserve"> </w:t>
      </w:r>
      <w:r w:rsidR="00720D71" w:rsidRPr="00BE45CB">
        <w:rPr>
          <w:rFonts w:cstheme="minorHAnsi"/>
          <w:color w:val="000000"/>
          <w:lang w:val="en-GB"/>
        </w:rPr>
        <w:t>Delft University of Technology</w:t>
      </w:r>
      <w:r w:rsidR="00720D71">
        <w:rPr>
          <w:rFonts w:cstheme="minorHAnsi"/>
          <w:color w:val="000000"/>
          <w:lang w:val="en-GB"/>
        </w:rPr>
        <w:t xml:space="preserve">, </w:t>
      </w:r>
      <w:r w:rsidRPr="00BE45CB">
        <w:rPr>
          <w:rFonts w:cstheme="minorHAnsi"/>
          <w:color w:val="000000"/>
          <w:lang w:val="en-GB"/>
        </w:rPr>
        <w:t>The Netherlands</w:t>
      </w:r>
    </w:p>
    <w:p w:rsidR="00D62D24" w:rsidRPr="00BE45CB" w:rsidRDefault="00D62D24" w:rsidP="00D62D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D62D24" w:rsidRPr="00BE45CB" w:rsidRDefault="00D62D24" w:rsidP="00D62D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proofErr w:type="spellStart"/>
      <w:r w:rsidRPr="00BE45CB">
        <w:rPr>
          <w:rFonts w:cstheme="minorHAnsi"/>
          <w:color w:val="000000"/>
          <w:lang w:val="en-GB"/>
        </w:rPr>
        <w:t>Vishanth</w:t>
      </w:r>
      <w:proofErr w:type="spellEnd"/>
      <w:r w:rsidRPr="00BE45CB">
        <w:rPr>
          <w:rFonts w:cstheme="minorHAnsi"/>
          <w:color w:val="000000"/>
          <w:lang w:val="en-GB"/>
        </w:rPr>
        <w:t xml:space="preserve"> </w:t>
      </w:r>
      <w:proofErr w:type="spellStart"/>
      <w:r w:rsidRPr="00BE45CB">
        <w:rPr>
          <w:rFonts w:cstheme="minorHAnsi"/>
          <w:color w:val="000000"/>
          <w:lang w:val="en-GB"/>
        </w:rPr>
        <w:t>Weerakkody</w:t>
      </w:r>
      <w:proofErr w:type="spellEnd"/>
      <w:r w:rsidRPr="00BE45CB">
        <w:rPr>
          <w:rFonts w:cstheme="minorHAnsi"/>
          <w:color w:val="000000"/>
          <w:lang w:val="en-GB"/>
        </w:rPr>
        <w:t>, Email: Vishanth.Weerakkody@brunel.ac.uk</w:t>
      </w:r>
    </w:p>
    <w:p w:rsidR="00D62D24" w:rsidRPr="00BE45CB" w:rsidRDefault="00D62D24" w:rsidP="00D62D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BE45CB">
        <w:rPr>
          <w:rFonts w:cstheme="minorHAnsi"/>
          <w:color w:val="000000"/>
          <w:lang w:val="en-GB"/>
        </w:rPr>
        <w:t>Business School, Brunel University, UK</w:t>
      </w:r>
    </w:p>
    <w:p w:rsidR="00720D71" w:rsidRDefault="00720D71" w:rsidP="00720D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720D71" w:rsidRDefault="00720D71" w:rsidP="00720D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proofErr w:type="spellStart"/>
      <w:r>
        <w:rPr>
          <w:rFonts w:cs="Calibri"/>
          <w:color w:val="000000"/>
          <w:lang w:val="en-GB"/>
        </w:rPr>
        <w:t>Yogesh</w:t>
      </w:r>
      <w:proofErr w:type="spellEnd"/>
      <w:r>
        <w:rPr>
          <w:rFonts w:cs="Calibri"/>
          <w:color w:val="000000"/>
          <w:lang w:val="en-GB"/>
        </w:rPr>
        <w:t xml:space="preserve"> K. </w:t>
      </w:r>
      <w:proofErr w:type="spellStart"/>
      <w:r>
        <w:rPr>
          <w:rFonts w:cs="Calibri"/>
          <w:color w:val="000000"/>
          <w:lang w:val="en-GB"/>
        </w:rPr>
        <w:t>Dwivedi</w:t>
      </w:r>
      <w:proofErr w:type="spellEnd"/>
      <w:r>
        <w:rPr>
          <w:rFonts w:cs="Calibri"/>
          <w:color w:val="000000"/>
          <w:lang w:val="en-GB"/>
        </w:rPr>
        <w:t>, Email: ykdwivedi@gmail.com</w:t>
      </w:r>
    </w:p>
    <w:p w:rsidR="00720D71" w:rsidRDefault="00720D71" w:rsidP="00720D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School of Business &amp; Economics, Swansea University, UK</w:t>
      </w:r>
    </w:p>
    <w:p w:rsidR="00D62D24" w:rsidRPr="00BE45CB" w:rsidRDefault="00D62D24" w:rsidP="00D62D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0D2F38" w:rsidRPr="00BE45CB" w:rsidRDefault="000D2F38">
      <w:pPr>
        <w:rPr>
          <w:rFonts w:cstheme="minorHAnsi"/>
          <w:shd w:val="clear" w:color="auto" w:fill="FFFFFF"/>
          <w:lang w:val="en-GB"/>
        </w:rPr>
      </w:pPr>
    </w:p>
    <w:p w:rsidR="00842DE6" w:rsidRPr="00BE45CB" w:rsidRDefault="000D2F38">
      <w:pPr>
        <w:rPr>
          <w:rFonts w:cstheme="minorHAnsi"/>
          <w:lang w:val="en-GB"/>
        </w:rPr>
      </w:pPr>
      <w:r w:rsidRPr="00BE45CB">
        <w:rPr>
          <w:rFonts w:cstheme="minorHAnsi"/>
          <w:shd w:val="clear" w:color="auto" w:fill="FFFFFF"/>
          <w:lang w:val="en-GB"/>
        </w:rPr>
        <w:br/>
      </w:r>
    </w:p>
    <w:sectPr w:rsidR="00842DE6" w:rsidRPr="00B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6A1"/>
    <w:multiLevelType w:val="hybridMultilevel"/>
    <w:tmpl w:val="93E2D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38"/>
    <w:rsid w:val="000D2F38"/>
    <w:rsid w:val="00165147"/>
    <w:rsid w:val="001A58E0"/>
    <w:rsid w:val="002568E5"/>
    <w:rsid w:val="00317DAF"/>
    <w:rsid w:val="003C4397"/>
    <w:rsid w:val="003C5A64"/>
    <w:rsid w:val="00404EEA"/>
    <w:rsid w:val="00446C5E"/>
    <w:rsid w:val="00450740"/>
    <w:rsid w:val="004D0654"/>
    <w:rsid w:val="00516159"/>
    <w:rsid w:val="00604B81"/>
    <w:rsid w:val="006C5332"/>
    <w:rsid w:val="00720D71"/>
    <w:rsid w:val="007349A4"/>
    <w:rsid w:val="00842DE6"/>
    <w:rsid w:val="0085443F"/>
    <w:rsid w:val="008B4A2C"/>
    <w:rsid w:val="00AA7642"/>
    <w:rsid w:val="00AB66FD"/>
    <w:rsid w:val="00B76395"/>
    <w:rsid w:val="00BE45CB"/>
    <w:rsid w:val="00C867E6"/>
    <w:rsid w:val="00D62D24"/>
    <w:rsid w:val="00DE290C"/>
    <w:rsid w:val="00E0062E"/>
    <w:rsid w:val="00E01717"/>
    <w:rsid w:val="00E93161"/>
    <w:rsid w:val="00FD718B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Janssen</cp:lastModifiedBy>
  <cp:revision>16</cp:revision>
  <dcterms:created xsi:type="dcterms:W3CDTF">2011-03-14T18:58:00Z</dcterms:created>
  <dcterms:modified xsi:type="dcterms:W3CDTF">2011-03-27T07:14:00Z</dcterms:modified>
</cp:coreProperties>
</file>